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9D760" w14:textId="77777777" w:rsidR="00C737A6" w:rsidRPr="00342E08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  <w:r w:rsidRPr="00342E08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7DF8CD2" wp14:editId="562A4DF9">
            <wp:simplePos x="0" y="0"/>
            <wp:positionH relativeFrom="column">
              <wp:posOffset>-462775</wp:posOffset>
            </wp:positionH>
            <wp:positionV relativeFrom="paragraph">
              <wp:posOffset>-727792</wp:posOffset>
            </wp:positionV>
            <wp:extent cx="1383665" cy="1292225"/>
            <wp:effectExtent l="0" t="0" r="698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2E35" w14:textId="77777777" w:rsidR="00C737A6" w:rsidRPr="00342E08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312160CD" w14:textId="77777777" w:rsidR="00C737A6" w:rsidRPr="00342E08" w:rsidRDefault="00C737A6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688B5F21" w14:textId="77777777" w:rsidR="00813182" w:rsidRPr="00342E08" w:rsidRDefault="00813182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45CD59D7" w14:textId="77777777" w:rsidR="00813182" w:rsidRPr="00342E08" w:rsidRDefault="00813182" w:rsidP="00C737A6">
      <w:pPr>
        <w:pStyle w:val="Textoindependiente"/>
        <w:spacing w:before="95" w:line="235" w:lineRule="auto"/>
        <w:ind w:left="307" w:right="127" w:firstLine="17"/>
        <w:jc w:val="center"/>
        <w:rPr>
          <w:rFonts w:ascii="Arial" w:hAnsi="Arial" w:cs="Arial"/>
          <w:b/>
          <w:sz w:val="20"/>
          <w:szCs w:val="20"/>
        </w:rPr>
      </w:pPr>
    </w:p>
    <w:p w14:paraId="71FC79AD" w14:textId="5EB797CD" w:rsidR="00C737A6" w:rsidRPr="00342E08" w:rsidRDefault="00461BB5" w:rsidP="00D870BD">
      <w:pPr>
        <w:pStyle w:val="Textoindependiente"/>
        <w:ind w:left="307" w:right="127" w:firstLine="17"/>
        <w:jc w:val="center"/>
        <w:rPr>
          <w:rFonts w:ascii="Arial" w:hAnsi="Arial" w:cs="Arial"/>
          <w:b/>
          <w:sz w:val="22"/>
          <w:szCs w:val="22"/>
        </w:rPr>
      </w:pPr>
      <w:r w:rsidRPr="00342E08">
        <w:rPr>
          <w:rFonts w:ascii="Arial" w:hAnsi="Arial" w:cs="Arial"/>
          <w:b/>
          <w:sz w:val="22"/>
          <w:szCs w:val="22"/>
        </w:rPr>
        <w:t>PROTOCOLO DE OPERACIÓ</w:t>
      </w:r>
      <w:r w:rsidR="00C737A6" w:rsidRPr="00342E08">
        <w:rPr>
          <w:rFonts w:ascii="Arial" w:hAnsi="Arial" w:cs="Arial"/>
          <w:b/>
          <w:sz w:val="22"/>
          <w:szCs w:val="22"/>
        </w:rPr>
        <w:t>N</w:t>
      </w:r>
    </w:p>
    <w:p w14:paraId="7DD4C340" w14:textId="42A04DEE" w:rsidR="00C737A6" w:rsidRPr="00342E08" w:rsidRDefault="00C737A6" w:rsidP="00D870BD">
      <w:pPr>
        <w:pStyle w:val="Textoindependiente"/>
        <w:ind w:left="307" w:right="127" w:firstLine="17"/>
        <w:jc w:val="center"/>
        <w:rPr>
          <w:rFonts w:ascii="Arial" w:hAnsi="Arial" w:cs="Arial"/>
          <w:b/>
          <w:sz w:val="22"/>
          <w:szCs w:val="22"/>
        </w:rPr>
      </w:pPr>
      <w:r w:rsidRPr="00342E08">
        <w:rPr>
          <w:rFonts w:ascii="Arial" w:hAnsi="Arial" w:cs="Arial"/>
          <w:b/>
          <w:sz w:val="22"/>
          <w:szCs w:val="22"/>
        </w:rPr>
        <w:t xml:space="preserve">PARA LA CONEXIÓN AL SISTEMA DE CONTROL DE TRÁNSITO DESDE EMPRESAS DE </w:t>
      </w:r>
      <w:r w:rsidR="00247B31" w:rsidRPr="00342E08">
        <w:rPr>
          <w:rFonts w:ascii="Arial" w:hAnsi="Arial" w:cs="Arial"/>
          <w:b/>
          <w:sz w:val="22"/>
          <w:szCs w:val="22"/>
        </w:rPr>
        <w:t>MANTENIMIENTO</w:t>
      </w:r>
      <w:r w:rsidRPr="00342E08">
        <w:rPr>
          <w:rFonts w:ascii="Arial" w:hAnsi="Arial" w:cs="Arial"/>
          <w:b/>
          <w:sz w:val="22"/>
          <w:szCs w:val="22"/>
        </w:rPr>
        <w:t xml:space="preserve"> DE SEMÁFOROS</w:t>
      </w:r>
    </w:p>
    <w:p w14:paraId="6653738C" w14:textId="77777777" w:rsidR="00C737A6" w:rsidRPr="00342E08" w:rsidRDefault="00C737A6" w:rsidP="00D870BD">
      <w:pPr>
        <w:pStyle w:val="Textoindependiente"/>
        <w:ind w:left="307" w:right="127" w:firstLine="17"/>
        <w:jc w:val="both"/>
        <w:rPr>
          <w:rFonts w:ascii="Arial" w:hAnsi="Arial" w:cs="Arial"/>
          <w:sz w:val="22"/>
          <w:szCs w:val="22"/>
        </w:rPr>
      </w:pPr>
    </w:p>
    <w:p w14:paraId="2A84A118" w14:textId="77777777" w:rsidR="00D870BD" w:rsidRPr="00342E08" w:rsidRDefault="00D870BD" w:rsidP="00D870BD">
      <w:pPr>
        <w:pStyle w:val="Textoindependiente"/>
        <w:ind w:left="307" w:right="127" w:firstLine="17"/>
        <w:jc w:val="both"/>
        <w:rPr>
          <w:rFonts w:ascii="Arial" w:hAnsi="Arial" w:cs="Arial"/>
          <w:sz w:val="22"/>
          <w:szCs w:val="22"/>
        </w:rPr>
      </w:pPr>
    </w:p>
    <w:p w14:paraId="3D24EA63" w14:textId="4A58A0D8" w:rsidR="00C737A6" w:rsidRPr="00342E08" w:rsidRDefault="00C737A6" w:rsidP="00D870BD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  <w:r w:rsidRPr="00342E08">
        <w:rPr>
          <w:rFonts w:ascii="Arial" w:hAnsi="Arial" w:cs="Arial"/>
          <w:sz w:val="22"/>
          <w:szCs w:val="22"/>
        </w:rPr>
        <w:t xml:space="preserve">En Santiago, con fecha </w:t>
      </w:r>
      <w:r w:rsidR="002D134A" w:rsidRPr="00342E08">
        <w:rPr>
          <w:rFonts w:ascii="Arial" w:hAnsi="Arial" w:cs="Arial"/>
          <w:sz w:val="22"/>
          <w:szCs w:val="22"/>
        </w:rPr>
        <w:t>DD</w:t>
      </w:r>
      <w:r w:rsidRPr="00342E08">
        <w:rPr>
          <w:rFonts w:ascii="Arial" w:hAnsi="Arial" w:cs="Arial"/>
          <w:sz w:val="22"/>
          <w:szCs w:val="22"/>
        </w:rPr>
        <w:t xml:space="preserve"> de</w:t>
      </w:r>
      <w:r w:rsidR="002D134A" w:rsidRPr="00342E08">
        <w:rPr>
          <w:rFonts w:ascii="Arial" w:hAnsi="Arial" w:cs="Arial"/>
          <w:sz w:val="22"/>
          <w:szCs w:val="22"/>
        </w:rPr>
        <w:t xml:space="preserve"> MMM</w:t>
      </w:r>
      <w:r w:rsidR="00663221" w:rsidRPr="00342E08">
        <w:rPr>
          <w:rFonts w:ascii="Arial" w:hAnsi="Arial" w:cs="Arial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 xml:space="preserve">de </w:t>
      </w:r>
      <w:r w:rsidR="002D134A" w:rsidRPr="00342E08">
        <w:rPr>
          <w:rFonts w:ascii="Arial" w:hAnsi="Arial" w:cs="Arial"/>
          <w:sz w:val="22"/>
          <w:szCs w:val="22"/>
        </w:rPr>
        <w:t>AAAA</w:t>
      </w:r>
      <w:r w:rsidRPr="00342E08">
        <w:rPr>
          <w:rFonts w:ascii="Arial" w:hAnsi="Arial" w:cs="Arial"/>
          <w:sz w:val="22"/>
          <w:szCs w:val="22"/>
        </w:rPr>
        <w:t xml:space="preserve">, la empresa o institución abajo firmante suscribe el presente documento que </w:t>
      </w:r>
      <w:r w:rsidR="00663221" w:rsidRPr="00342E08">
        <w:rPr>
          <w:rFonts w:ascii="Arial" w:hAnsi="Arial" w:cs="Arial"/>
          <w:sz w:val="22"/>
          <w:szCs w:val="22"/>
        </w:rPr>
        <w:t>atiende</w:t>
      </w:r>
      <w:r w:rsidRPr="00342E08">
        <w:rPr>
          <w:rFonts w:ascii="Arial" w:hAnsi="Arial" w:cs="Arial"/>
          <w:sz w:val="22"/>
          <w:szCs w:val="22"/>
        </w:rPr>
        <w:t xml:space="preserve"> a las necesidades de</w:t>
      </w:r>
      <w:r w:rsidR="00663221" w:rsidRPr="00342E08">
        <w:rPr>
          <w:rFonts w:ascii="Arial" w:hAnsi="Arial" w:cs="Arial"/>
          <w:sz w:val="22"/>
          <w:szCs w:val="22"/>
        </w:rPr>
        <w:t xml:space="preserve"> las</w:t>
      </w:r>
      <w:r w:rsidRPr="00342E08">
        <w:rPr>
          <w:rFonts w:ascii="Arial" w:hAnsi="Arial" w:cs="Arial"/>
          <w:sz w:val="22"/>
          <w:szCs w:val="22"/>
        </w:rPr>
        <w:t xml:space="preserve"> empresas de mantención de semáforos y al interés manifestado por las Direcciones de Tránsito de diversas Municipalidades, en orden a optimizar el seguimiento y control de las fallas de los semáforos conectados al Sistema de Control de Tránsito de la ci</w:t>
      </w:r>
      <w:r w:rsidR="00663221" w:rsidRPr="00342E08">
        <w:rPr>
          <w:rFonts w:ascii="Arial" w:hAnsi="Arial" w:cs="Arial"/>
          <w:sz w:val="22"/>
          <w:szCs w:val="22"/>
        </w:rPr>
        <w:t>u</w:t>
      </w:r>
      <w:r w:rsidRPr="00342E08">
        <w:rPr>
          <w:rFonts w:ascii="Arial" w:hAnsi="Arial" w:cs="Arial"/>
          <w:sz w:val="22"/>
          <w:szCs w:val="22"/>
        </w:rPr>
        <w:t xml:space="preserve">dad de Santiago. La Unidad Operativa de Control de Tránsito (UOCT) ha </w:t>
      </w:r>
      <w:r w:rsidR="00247B31" w:rsidRPr="00342E08">
        <w:rPr>
          <w:rFonts w:ascii="Arial" w:hAnsi="Arial" w:cs="Arial"/>
          <w:sz w:val="22"/>
          <w:szCs w:val="22"/>
        </w:rPr>
        <w:t>dejado disponible un</w:t>
      </w:r>
      <w:r w:rsidR="00FF3AE9" w:rsidRPr="00342E08">
        <w:rPr>
          <w:rFonts w:ascii="Arial" w:hAnsi="Arial" w:cs="Arial"/>
          <w:sz w:val="22"/>
          <w:szCs w:val="22"/>
        </w:rPr>
        <w:t xml:space="preserve"> servicio de conexión y</w:t>
      </w:r>
      <w:r w:rsidR="00247B31" w:rsidRPr="00342E08">
        <w:rPr>
          <w:rFonts w:ascii="Arial" w:hAnsi="Arial" w:cs="Arial"/>
          <w:sz w:val="22"/>
          <w:szCs w:val="22"/>
        </w:rPr>
        <w:t xml:space="preserve"> acceso mediante</w:t>
      </w:r>
      <w:r w:rsidRPr="00342E08">
        <w:rPr>
          <w:rFonts w:ascii="Arial" w:hAnsi="Arial" w:cs="Arial"/>
          <w:sz w:val="22"/>
          <w:szCs w:val="22"/>
        </w:rPr>
        <w:t xml:space="preserve"> Red Privada Virtual</w:t>
      </w:r>
      <w:r w:rsidR="00247B31" w:rsidRPr="00342E08">
        <w:rPr>
          <w:rFonts w:ascii="Arial" w:hAnsi="Arial" w:cs="Arial"/>
          <w:sz w:val="22"/>
          <w:szCs w:val="22"/>
        </w:rPr>
        <w:t xml:space="preserve"> (VPN)</w:t>
      </w:r>
      <w:r w:rsidRPr="00342E08">
        <w:rPr>
          <w:rFonts w:ascii="Arial" w:hAnsi="Arial" w:cs="Arial"/>
          <w:sz w:val="22"/>
          <w:szCs w:val="22"/>
        </w:rPr>
        <w:t xml:space="preserve"> a través de Internet, de esta forma, </w:t>
      </w:r>
      <w:r w:rsidR="00663221" w:rsidRPr="00342E08">
        <w:rPr>
          <w:rFonts w:ascii="Arial" w:hAnsi="Arial" w:cs="Arial"/>
          <w:sz w:val="22"/>
          <w:szCs w:val="22"/>
        </w:rPr>
        <w:t xml:space="preserve">es posible acceder </w:t>
      </w:r>
      <w:r w:rsidRPr="00342E08">
        <w:rPr>
          <w:rFonts w:ascii="Arial" w:hAnsi="Arial" w:cs="Arial"/>
          <w:sz w:val="22"/>
          <w:szCs w:val="22"/>
        </w:rPr>
        <w:t>remotamente al Sistema de Control de Tránsito, permitiendo</w:t>
      </w:r>
      <w:r w:rsidR="00663221" w:rsidRPr="00342E08">
        <w:rPr>
          <w:rFonts w:ascii="Arial" w:hAnsi="Arial" w:cs="Arial"/>
          <w:sz w:val="22"/>
          <w:szCs w:val="22"/>
        </w:rPr>
        <w:t>,</w:t>
      </w:r>
      <w:r w:rsidRPr="00342E08">
        <w:rPr>
          <w:rFonts w:ascii="Arial" w:hAnsi="Arial" w:cs="Arial"/>
          <w:sz w:val="22"/>
          <w:szCs w:val="22"/>
        </w:rPr>
        <w:t xml:space="preserve"> entre otras cosas, obtener en línea el reporte del estado de los semáforos, visualización de configuraciones, reportes históricos y programaciones de tiempos.</w:t>
      </w:r>
    </w:p>
    <w:p w14:paraId="4C40BB8B" w14:textId="77777777" w:rsidR="00C737A6" w:rsidRPr="00342E08" w:rsidRDefault="00C737A6" w:rsidP="00D870BD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</w:p>
    <w:p w14:paraId="6A67ACB1" w14:textId="5FB61641" w:rsidR="00C737A6" w:rsidRPr="00342E08" w:rsidRDefault="00C737A6" w:rsidP="00D870BD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  <w:r w:rsidRPr="00342E08">
        <w:rPr>
          <w:rFonts w:ascii="Arial" w:hAnsi="Arial" w:cs="Arial"/>
          <w:sz w:val="22"/>
          <w:szCs w:val="22"/>
        </w:rPr>
        <w:t>Con la suscripción del presente documento, la empresa o institución que haga uso de esta conexión,</w:t>
      </w:r>
      <w:r w:rsidRPr="00342E08">
        <w:rPr>
          <w:rFonts w:ascii="Arial" w:hAnsi="Arial" w:cs="Arial"/>
          <w:spacing w:val="-7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deberá</w:t>
      </w:r>
      <w:r w:rsidRPr="00342E08">
        <w:rPr>
          <w:rFonts w:ascii="Arial" w:hAnsi="Arial" w:cs="Arial"/>
          <w:spacing w:val="-3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velar porque</w:t>
      </w:r>
      <w:r w:rsidRPr="00342E08">
        <w:rPr>
          <w:rFonts w:ascii="Arial" w:hAnsi="Arial" w:cs="Arial"/>
          <w:spacing w:val="-1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sus accesos</w:t>
      </w:r>
      <w:r w:rsidRPr="00342E08">
        <w:rPr>
          <w:rFonts w:ascii="Arial" w:hAnsi="Arial" w:cs="Arial"/>
          <w:spacing w:val="-5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a estos</w:t>
      </w:r>
      <w:r w:rsidRPr="00342E08">
        <w:rPr>
          <w:rFonts w:ascii="Arial" w:hAnsi="Arial" w:cs="Arial"/>
          <w:spacing w:val="-1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servicios</w:t>
      </w:r>
      <w:r w:rsidRPr="00342E08">
        <w:rPr>
          <w:rFonts w:ascii="Arial" w:hAnsi="Arial" w:cs="Arial"/>
          <w:spacing w:val="-7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 xml:space="preserve">sean </w:t>
      </w:r>
      <w:r w:rsidR="00247B31" w:rsidRPr="00342E08">
        <w:rPr>
          <w:rFonts w:ascii="Arial" w:hAnsi="Arial" w:cs="Arial"/>
          <w:sz w:val="22"/>
          <w:szCs w:val="22"/>
        </w:rPr>
        <w:t>utilizados correctamente</w:t>
      </w:r>
      <w:r w:rsidRPr="00342E08">
        <w:rPr>
          <w:rFonts w:ascii="Arial" w:hAnsi="Arial" w:cs="Arial"/>
          <w:sz w:val="22"/>
          <w:szCs w:val="22"/>
        </w:rPr>
        <w:t>,</w:t>
      </w:r>
      <w:r w:rsidRPr="00342E08">
        <w:rPr>
          <w:rFonts w:ascii="Arial" w:hAnsi="Arial" w:cs="Arial"/>
          <w:spacing w:val="-2"/>
          <w:sz w:val="22"/>
          <w:szCs w:val="22"/>
        </w:rPr>
        <w:t xml:space="preserve"> </w:t>
      </w:r>
      <w:r w:rsidR="00663221" w:rsidRPr="00342E08">
        <w:rPr>
          <w:rFonts w:ascii="Arial" w:hAnsi="Arial" w:cs="Arial"/>
          <w:spacing w:val="-2"/>
          <w:sz w:val="22"/>
          <w:szCs w:val="22"/>
        </w:rPr>
        <w:t xml:space="preserve">por lo que </w:t>
      </w:r>
      <w:r w:rsidRPr="00342E08">
        <w:rPr>
          <w:rFonts w:ascii="Arial" w:hAnsi="Arial" w:cs="Arial"/>
          <w:sz w:val="22"/>
          <w:szCs w:val="22"/>
        </w:rPr>
        <w:t>cualquier</w:t>
      </w:r>
      <w:r w:rsidRPr="00342E08">
        <w:rPr>
          <w:rFonts w:ascii="Arial" w:hAnsi="Arial" w:cs="Arial"/>
          <w:spacing w:val="-12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uso indebido será causal de inhabilitación de</w:t>
      </w:r>
      <w:r w:rsidRPr="00342E08">
        <w:rPr>
          <w:rFonts w:ascii="Arial" w:hAnsi="Arial" w:cs="Arial"/>
          <w:spacing w:val="-1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esta conexión.</w:t>
      </w:r>
      <w:r w:rsidRPr="00342E08">
        <w:rPr>
          <w:rFonts w:ascii="Arial" w:hAnsi="Arial" w:cs="Arial"/>
          <w:spacing w:val="4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Por lo</w:t>
      </w:r>
      <w:r w:rsidRPr="00342E08">
        <w:rPr>
          <w:rFonts w:ascii="Arial" w:hAnsi="Arial" w:cs="Arial"/>
          <w:spacing w:val="-2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 xml:space="preserve">anterior, se </w:t>
      </w:r>
      <w:bookmarkStart w:id="0" w:name="_GoBack"/>
      <w:bookmarkEnd w:id="0"/>
      <w:r w:rsidRPr="00342E08">
        <w:rPr>
          <w:rFonts w:ascii="Arial" w:hAnsi="Arial" w:cs="Arial"/>
          <w:sz w:val="22"/>
          <w:szCs w:val="22"/>
        </w:rPr>
        <w:t>deberá guardar la máxima privacidad del manual entregado, así como también, de los datos que definen este servicio de conexión.</w:t>
      </w:r>
      <w:r w:rsidRPr="00342E08">
        <w:rPr>
          <w:rFonts w:ascii="Arial" w:hAnsi="Arial" w:cs="Arial"/>
          <w:spacing w:val="4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Cabe señalar, además, que la información que sea extraída desde el Sistema</w:t>
      </w:r>
      <w:r w:rsidRPr="00342E08">
        <w:rPr>
          <w:rFonts w:ascii="Arial" w:hAnsi="Arial" w:cs="Arial"/>
          <w:spacing w:val="28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de Control de Tránsito es</w:t>
      </w:r>
      <w:r w:rsidRPr="00342E08">
        <w:rPr>
          <w:rFonts w:ascii="Arial" w:hAnsi="Arial" w:cs="Arial"/>
          <w:spacing w:val="4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de</w:t>
      </w:r>
      <w:r w:rsidRPr="00342E08">
        <w:rPr>
          <w:rFonts w:ascii="Arial" w:hAnsi="Arial" w:cs="Arial"/>
          <w:spacing w:val="37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propiedad de la UOCT, por lo tanto, sólo se permite su uso para labores estrictamente de</w:t>
      </w:r>
      <w:r w:rsidRPr="00342E08">
        <w:rPr>
          <w:rFonts w:ascii="Arial" w:hAnsi="Arial" w:cs="Arial"/>
          <w:spacing w:val="-1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mantenimiento</w:t>
      </w:r>
      <w:r w:rsidRPr="00342E08">
        <w:rPr>
          <w:rFonts w:ascii="Arial" w:hAnsi="Arial" w:cs="Arial"/>
          <w:spacing w:val="-2"/>
          <w:sz w:val="22"/>
          <w:szCs w:val="22"/>
        </w:rPr>
        <w:t xml:space="preserve"> </w:t>
      </w:r>
      <w:r w:rsidR="00663221" w:rsidRPr="00342E08">
        <w:rPr>
          <w:rFonts w:ascii="Arial" w:hAnsi="Arial" w:cs="Arial"/>
          <w:spacing w:val="-2"/>
          <w:sz w:val="22"/>
          <w:szCs w:val="22"/>
        </w:rPr>
        <w:t xml:space="preserve">y </w:t>
      </w:r>
      <w:r w:rsidRPr="00342E08">
        <w:rPr>
          <w:rFonts w:ascii="Arial" w:hAnsi="Arial" w:cs="Arial"/>
          <w:sz w:val="22"/>
          <w:szCs w:val="22"/>
        </w:rPr>
        <w:t>cualquier otro uso que</w:t>
      </w:r>
      <w:r w:rsidRPr="00342E08">
        <w:rPr>
          <w:rFonts w:ascii="Arial" w:hAnsi="Arial" w:cs="Arial"/>
          <w:spacing w:val="-14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se</w:t>
      </w:r>
      <w:r w:rsidRPr="00342E08">
        <w:rPr>
          <w:rFonts w:ascii="Arial" w:hAnsi="Arial" w:cs="Arial"/>
          <w:spacing w:val="4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quisiera dar debe ser autorizado por el</w:t>
      </w:r>
      <w:r w:rsidRPr="00342E08">
        <w:rPr>
          <w:rFonts w:ascii="Arial" w:hAnsi="Arial" w:cs="Arial"/>
          <w:spacing w:val="-11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Secretario Ejecutivo</w:t>
      </w:r>
      <w:r w:rsidRPr="00342E08">
        <w:rPr>
          <w:rFonts w:ascii="Arial" w:hAnsi="Arial" w:cs="Arial"/>
          <w:spacing w:val="-1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de la</w:t>
      </w:r>
      <w:r w:rsidRPr="00342E08">
        <w:rPr>
          <w:rFonts w:ascii="Arial" w:hAnsi="Arial" w:cs="Arial"/>
          <w:spacing w:val="40"/>
          <w:sz w:val="22"/>
          <w:szCs w:val="22"/>
        </w:rPr>
        <w:t xml:space="preserve"> </w:t>
      </w:r>
      <w:r w:rsidRPr="00342E08">
        <w:rPr>
          <w:rFonts w:ascii="Arial" w:hAnsi="Arial" w:cs="Arial"/>
          <w:sz w:val="22"/>
          <w:szCs w:val="22"/>
        </w:rPr>
        <w:t>Unidad.</w:t>
      </w:r>
    </w:p>
    <w:p w14:paraId="26590367" w14:textId="77777777" w:rsidR="00C737A6" w:rsidRPr="00342E08" w:rsidRDefault="00C737A6" w:rsidP="00D870BD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</w:p>
    <w:p w14:paraId="3FE45EFC" w14:textId="369D20EE" w:rsidR="00C737A6" w:rsidRPr="00342E08" w:rsidRDefault="00C737A6" w:rsidP="00D870BD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  <w:r w:rsidRPr="00342E08">
        <w:rPr>
          <w:rFonts w:ascii="Arial" w:hAnsi="Arial" w:cs="Arial"/>
          <w:sz w:val="22"/>
          <w:szCs w:val="22"/>
        </w:rPr>
        <w:t>Como política de seguridad, se han establecido dos cuentas</w:t>
      </w:r>
      <w:r w:rsidR="00FF3AE9" w:rsidRPr="00342E08">
        <w:rPr>
          <w:rFonts w:ascii="Arial" w:hAnsi="Arial" w:cs="Arial"/>
          <w:sz w:val="22"/>
          <w:szCs w:val="22"/>
        </w:rPr>
        <w:t xml:space="preserve"> de usuario</w:t>
      </w:r>
      <w:r w:rsidRPr="00342E08">
        <w:rPr>
          <w:rFonts w:ascii="Arial" w:hAnsi="Arial" w:cs="Arial"/>
          <w:sz w:val="22"/>
          <w:szCs w:val="22"/>
        </w:rPr>
        <w:t xml:space="preserve"> para la habilitación de los servicios, las cuales se irán modificando con cierta periodicidad, proceso que será</w:t>
      </w:r>
      <w:r w:rsidR="006818D1" w:rsidRPr="00342E08">
        <w:rPr>
          <w:rFonts w:ascii="Arial" w:hAnsi="Arial" w:cs="Arial"/>
          <w:sz w:val="22"/>
          <w:szCs w:val="22"/>
        </w:rPr>
        <w:t xml:space="preserve"> debidamente informado. La primera,</w:t>
      </w:r>
      <w:r w:rsidRPr="00342E08">
        <w:rPr>
          <w:rFonts w:ascii="Arial" w:hAnsi="Arial" w:cs="Arial"/>
          <w:sz w:val="22"/>
          <w:szCs w:val="22"/>
        </w:rPr>
        <w:t xml:space="preserve"> será para acceder a la Red Privada Virtual</w:t>
      </w:r>
      <w:r w:rsidR="00FF3AE9" w:rsidRPr="00342E08">
        <w:rPr>
          <w:rFonts w:ascii="Arial" w:hAnsi="Arial" w:cs="Arial"/>
          <w:sz w:val="22"/>
          <w:szCs w:val="22"/>
        </w:rPr>
        <w:t xml:space="preserve"> (VPN)</w:t>
      </w:r>
      <w:r w:rsidR="00663221" w:rsidRPr="00342E08">
        <w:rPr>
          <w:rFonts w:ascii="Arial" w:hAnsi="Arial" w:cs="Arial"/>
          <w:sz w:val="22"/>
          <w:szCs w:val="22"/>
        </w:rPr>
        <w:t>;</w:t>
      </w:r>
      <w:r w:rsidRPr="00342E08">
        <w:rPr>
          <w:rFonts w:ascii="Arial" w:hAnsi="Arial" w:cs="Arial"/>
          <w:sz w:val="22"/>
          <w:szCs w:val="22"/>
        </w:rPr>
        <w:t xml:space="preserve"> y la segunda, para establecer la sesión </w:t>
      </w:r>
      <w:r w:rsidR="006818D1" w:rsidRPr="00342E08">
        <w:rPr>
          <w:rFonts w:ascii="Arial" w:hAnsi="Arial" w:cs="Arial"/>
          <w:sz w:val="22"/>
          <w:szCs w:val="22"/>
        </w:rPr>
        <w:t>con e</w:t>
      </w:r>
      <w:r w:rsidRPr="00342E08">
        <w:rPr>
          <w:rFonts w:ascii="Arial" w:hAnsi="Arial" w:cs="Arial"/>
          <w:sz w:val="22"/>
          <w:szCs w:val="22"/>
        </w:rPr>
        <w:t>l Sistema de Control de Tránsito.</w:t>
      </w:r>
    </w:p>
    <w:p w14:paraId="371CB7D9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63C5D28D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372B5971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15132550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1A8B18B3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653F4C10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4855F521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24A9BB5F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1E85F0D3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137482CE" w14:textId="77777777" w:rsidR="00813182" w:rsidRPr="00342E08" w:rsidRDefault="00813182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77CADC7E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3C79CECD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p w14:paraId="27FF6039" w14:textId="77777777" w:rsidR="00C737A6" w:rsidRPr="00342E08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394"/>
      </w:tblGrid>
      <w:tr w:rsidR="00C737A6" w:rsidRPr="00342E08" w14:paraId="20A60D40" w14:textId="77777777" w:rsidTr="00D870B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70EDD3A" w14:textId="77777777" w:rsidR="00C737A6" w:rsidRPr="00342E08" w:rsidRDefault="002D134A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42E08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[Nombre Representante]</w:t>
            </w:r>
          </w:p>
          <w:p w14:paraId="0B1B24B5" w14:textId="722F67BC" w:rsidR="002D134A" w:rsidRPr="00342E08" w:rsidRDefault="002D134A" w:rsidP="002D134A">
            <w:pPr>
              <w:pStyle w:val="Textoindependiente"/>
              <w:ind w:right="125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42E08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[Cargo]</w:t>
            </w:r>
          </w:p>
        </w:tc>
        <w:tc>
          <w:tcPr>
            <w:tcW w:w="993" w:type="dxa"/>
          </w:tcPr>
          <w:p w14:paraId="2B5BD77F" w14:textId="77777777" w:rsidR="00C737A6" w:rsidRPr="00342E08" w:rsidRDefault="00C737A6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D66EF43" w14:textId="77777777" w:rsidR="00C737A6" w:rsidRPr="00342E08" w:rsidRDefault="00813182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E08">
              <w:rPr>
                <w:rFonts w:ascii="Arial" w:hAnsi="Arial" w:cs="Arial"/>
                <w:sz w:val="22"/>
                <w:szCs w:val="22"/>
              </w:rPr>
              <w:t>Sr. Pedro Vidal Matamala</w:t>
            </w:r>
          </w:p>
          <w:p w14:paraId="70F5CC28" w14:textId="77777777" w:rsidR="00663221" w:rsidRPr="00342E08" w:rsidRDefault="00663221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E08">
              <w:rPr>
                <w:rFonts w:ascii="Arial" w:hAnsi="Arial" w:cs="Arial"/>
                <w:sz w:val="22"/>
                <w:szCs w:val="22"/>
              </w:rPr>
              <w:t>Secretario Ejecutivo</w:t>
            </w:r>
          </w:p>
        </w:tc>
      </w:tr>
      <w:tr w:rsidR="00C737A6" w:rsidRPr="00D870BD" w14:paraId="4C66A7F7" w14:textId="77777777" w:rsidTr="00D870BD">
        <w:trPr>
          <w:jc w:val="center"/>
        </w:trPr>
        <w:tc>
          <w:tcPr>
            <w:tcW w:w="3969" w:type="dxa"/>
          </w:tcPr>
          <w:p w14:paraId="1D570753" w14:textId="1C3B6883" w:rsidR="00C737A6" w:rsidRPr="00342E08" w:rsidRDefault="002D134A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42E08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[Nombre Empresa]</w:t>
            </w:r>
          </w:p>
        </w:tc>
        <w:tc>
          <w:tcPr>
            <w:tcW w:w="993" w:type="dxa"/>
          </w:tcPr>
          <w:p w14:paraId="2EC0C209" w14:textId="77777777" w:rsidR="00C737A6" w:rsidRPr="00342E08" w:rsidRDefault="00C737A6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3E0A6AA" w14:textId="77777777" w:rsidR="00C737A6" w:rsidRPr="00D870BD" w:rsidRDefault="00813182" w:rsidP="00C737A6">
            <w:pPr>
              <w:pStyle w:val="Textoindependiente"/>
              <w:ind w:right="1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E08">
              <w:rPr>
                <w:rFonts w:ascii="Arial" w:hAnsi="Arial" w:cs="Arial"/>
                <w:sz w:val="22"/>
                <w:szCs w:val="22"/>
              </w:rPr>
              <w:t>Unidad Operativa de Control de Tránsito</w:t>
            </w:r>
          </w:p>
        </w:tc>
      </w:tr>
    </w:tbl>
    <w:p w14:paraId="19469144" w14:textId="77777777" w:rsidR="00C737A6" w:rsidRPr="00D870BD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2"/>
          <w:szCs w:val="22"/>
        </w:rPr>
      </w:pPr>
    </w:p>
    <w:p w14:paraId="433F8BB6" w14:textId="77777777" w:rsidR="00C737A6" w:rsidRDefault="00C737A6" w:rsidP="00C737A6">
      <w:pPr>
        <w:pStyle w:val="Textoindependiente"/>
        <w:ind w:left="306" w:right="125" w:firstLine="17"/>
        <w:jc w:val="both"/>
        <w:rPr>
          <w:rFonts w:ascii="Arial" w:hAnsi="Arial" w:cs="Arial"/>
          <w:sz w:val="20"/>
          <w:szCs w:val="20"/>
        </w:rPr>
      </w:pPr>
    </w:p>
    <w:sectPr w:rsidR="00C737A6" w:rsidSect="00D870BD">
      <w:pgSz w:w="12240" w:h="15840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6"/>
    <w:rsid w:val="00152757"/>
    <w:rsid w:val="00247B31"/>
    <w:rsid w:val="002D134A"/>
    <w:rsid w:val="00342E08"/>
    <w:rsid w:val="00461BB5"/>
    <w:rsid w:val="0064312E"/>
    <w:rsid w:val="00663221"/>
    <w:rsid w:val="006818D1"/>
    <w:rsid w:val="00813182"/>
    <w:rsid w:val="00B94EFD"/>
    <w:rsid w:val="00C737A6"/>
    <w:rsid w:val="00D870BD"/>
    <w:rsid w:val="00F853A1"/>
    <w:rsid w:val="00FF3AE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06D"/>
  <w15:chartTrackingRefBased/>
  <w15:docId w15:val="{7193A329-69DE-4F86-BDB3-F76C6095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73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7A6"/>
    <w:rPr>
      <w:rFonts w:ascii="Times New Roman" w:eastAsia="Times New Roman" w:hAnsi="Times New Roman" w:cs="Times New Roman"/>
      <w:sz w:val="25"/>
      <w:szCs w:val="25"/>
      <w:lang w:val="es-ES"/>
    </w:rPr>
  </w:style>
  <w:style w:type="table" w:styleId="Tablaconcuadrcula">
    <w:name w:val="Table Grid"/>
    <w:basedOn w:val="Tablanormal"/>
    <w:uiPriority w:val="39"/>
    <w:rsid w:val="00C7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Fuentes</dc:creator>
  <cp:keywords/>
  <dc:description/>
  <cp:lastModifiedBy>Eric Marín</cp:lastModifiedBy>
  <cp:revision>4</cp:revision>
  <cp:lastPrinted>2024-08-28T15:59:00Z</cp:lastPrinted>
  <dcterms:created xsi:type="dcterms:W3CDTF">2024-08-30T16:01:00Z</dcterms:created>
  <dcterms:modified xsi:type="dcterms:W3CDTF">2024-09-04T18:54:00Z</dcterms:modified>
</cp:coreProperties>
</file>